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2013/96 vom 20. November 2010</w:t>
      </w:r>
    </w:p>
    <w:p>
      <w:r>
        <w:t>Sg Versicherungsgericht, 2010-11-20, DE</w:t>
      </w:r>
    </w:p>
    <w:p>
      <w:r>
        <w:rPr>
          <w:b/>
        </w:rPr>
        <w:t xml:space="preserve">Quelle: </w:t>
      </w:r>
      <w:r>
        <w:t>https://mcp.opencaselaw.ch/entscheid/sg_publikationen_IV 2013_96</w:t>
      </w:r>
    </w:p>
    <w:p>
      <w:r>
        <w:t>FR: SG_VERSICHERUNGSGERICHT IV 2013/96 du 20 novembre 2010</w:t>
      </w:r>
    </w:p>
    <w:p>
      <w:r>
        <w:t>IT: SG_VERSICHERUNGSGERICHT IV 2013/96 del 20 novembre 2010</w:t>
      </w:r>
    </w:p>
    <w:p>
      <w:pPr>
        <w:pStyle w:val="Heading2"/>
      </w:pPr>
      <w:r>
        <w:t>Regeste</w:t>
      </w:r>
    </w:p>
    <w:p>
      <w:r>
        <w:t>Art. 28 IVG. Rentenanspruch. Würdigung Gerichtsgutachten. Prozentvergleich. Tabellenlohnabzug. Anspruch auf eine halbe Rente (Entscheid des Versicherungsgerichts des Kantons St. Gallen vom 1. Juni 2016, IV 2013/96). Aufgehoben betreffend Gutachtenkosten (reduziert) durch Urteil des Bundesgerichts 8C_483/2016.</w:t>
      </w:r>
    </w:p>
    <w:p>
      <w:pPr>
        <w:pStyle w:val="Heading2"/>
      </w:pPr>
      <w:r>
        <w:t>Erwägungen</w:t>
      </w:r>
    </w:p>
    <w:p>
      <w:r>
        <w:rPr>
          <w:b/>
        </w:rPr>
        <w:t>E. 1</w:t>
      </w:r>
    </w:p>
    <w:p>
      <w:r>
        <w:t>Zwischen den Parteien umstritten und nachfolgend zu prüfen ist der Rentenanspruch des Beschwerdeführers.</w:t>
      </w:r>
    </w:p>
    <w:p>
      <w:r>
        <w:rPr>
          <w:b/>
        </w:rPr>
        <w:t>E. 2.1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2.4</w:t>
      </w:r>
    </w:p>
    <w:p>
      <w:r>
        <w:t>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465 E. 4.4 mit Hinweisen).</w:t>
      </w:r>
    </w:p>
    <w:p>
      <w:r>
        <w:rPr>
          <w:b/>
        </w:rPr>
        <w:t>E. 3.1</w:t>
      </w:r>
    </w:p>
    <w:p>
      <w:r>
        <w:t>Das vorliegende Gerichtsgutachten erfüllt die Anforderungen an eine beweiskräftige Expertise. Mängel, welche die Beweiskraft des Gerichtsgutachtens erschüttern, sind weder ersichtlich noch werden solche von den Parteien geltend gemacht.</w:t>
      </w:r>
    </w:p>
    <w:p>
      <w:r>
        <w:rPr>
          <w:b/>
        </w:rPr>
        <w:t>E. 3.2</w:t>
      </w:r>
    </w:p>
    <w:p>
      <w:r>
        <w:t>Gemäss Gerichtsgutachten leidet der Beschwerdeführer mit Auswirkung auf die Arbeitsfähigkeit an einem chronischen therapierefraktären thorakovertebralen Schmerzsyndrom und an einer Neurasthenie. Die vom Beschwerdeführer glaubhaft geschilderten, seit der Operation 2007 (Spondylodese Th 9/10) anhaltenden thorakalen Beschwerden seien auch in Berücksichtigung des Verlaufs mit diversen (erfolglosen) Therapiemassnahmen - unter anderem Implantation eines epiduralen Neurostimulators (Herbst 2007) und Implantation von 4 Quad-Plus-Elektroden im Bereich der Brustwirbelsäule mit Konnektion an den bestehenden Neurostimulator (März 2011) - am ehesten als ein failed back surgery syndrome einzustufen. Aufgrund der Minderbelastbarkeit des Achsenorgans seien dem Beschwerdeführer lediglich noch körperlich leichte, vorzugsweise wechselbelastende Tätigkeiten zu 50% der Norm, das bedeute sechs Stunden täglich mit 30%iger schmerz- und opiatbedingter Leistungseinschränkung, zumutbar. Keine zusätzliche Einschränkung der Arbeitsfähigkeit sei dem Beschwerdeführer aufgrund der psychiatrisch erhobenen Befunde zu attestieren, wobei diesbezüglich diagnostisch die  unerwünschten Arzneimittelwirkungen bei therapeutischer Anwendung von Opiaten (Morphium) Y57 mit sekundär Opioidabhängigkeit, ständiger Substanzgebrauch F11.25 sowie eine Neurasthenie F48.0 im Vordergrund stünden. Die damit zu begründende Beeinträchtigung des Antriebs, der Ausdauer, des Selbstvertrauens, der Konzentrationsfähigkeit und des Arbeitstempos sowie die vermehrte Müdigkeit und Kraftlosigkeit mit mangelnder Stressresistenz würden zu einer nicht additiven Arbeitsunfähigkeit von 45% in der angestammten Tätigkeit als Wohngruppenbetreuer bzw. von 35% in einer sehr einfachen Tätigkeit ohne besonderen Anforderungen an die psychische Belastbarkeit führen. Die neuropsychologische Begutachtung ihrerseits habe keine Beeinträchtigungen der kognitiven Leistungsfähigkeit gezeigt, weshalb aus dieser Sicht keine Einschränkung der Arbeitsfähigkeit bestehe (act. G 29, S. 17 ff.) Insgesamt ist gestützt auf das Gerichtsgutachten beim Beschwerdeführer sowohl in der angestammten Tätigkeit als Wohngruppenbetreuer, soweit es sich um eine körperlich leichte rückenadaptierte Tätigkeit handelt, wie auch in jeder anderen entsprechenden Verweistätigkeit ab November 2010 eine Arbeitsunfähigkeit von 50% anzunehmen (act. G 29, S. 20).</w:t>
      </w:r>
    </w:p>
    <w:p>
      <w:r>
        <w:rPr>
          <w:b/>
        </w:rPr>
        <w:t>E. 4.1</w:t>
      </w:r>
    </w:p>
    <w:p>
      <w:r>
        <w:t>Bei der Ermittlung des Invaliditätsgrades ist zu berücksichtigen, dass es sich gemäss dem Gerichtsgutachten bei der zuletzt ausgeübte Tätigkeit als Wohngruppenbetreuer um eine adaptierte Tätigkeit handelt (act. G 29, S. 20). Somit entspricht die Invalidenkarriere der Validenkarriere, weshalb der Invaliditätsgrad vorliegend anhand eines Prozentvergleichs berechnet werden kann. Auch bei einem Prozentvergleich ist zu prüfen, ob ein Abzug im Sinne eines Tabellenlohnabzugs aufgrund einer zu erwartenden unterdurchschnittlichen Entlöhnung vorzunehmen ist.</w:t>
      </w:r>
    </w:p>
    <w:p>
      <w:r>
        <w:rPr>
          <w:b/>
        </w:rPr>
        <w:t>E. 4.2</w:t>
      </w:r>
    </w:p>
    <w:p>
      <w:r>
        <w:t>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f. E. 5b und 129 V 481 E. 4.2.3 mit Hinweisen).</w:t>
      </w:r>
    </w:p>
    <w:p>
      <w:r>
        <w:rPr>
          <w:b/>
        </w:rPr>
        <w:t>E. 4.3</w:t>
      </w:r>
    </w:p>
    <w:p>
      <w:r>
        <w:t>Die leidensbedingten Einschränkungen wurden bereits bei der Arbeitsfähigkeitsschätzung berücksichtigt und rechtfertigen vorliegend keinen weiteren Abzug. Mit dem fortgeschrittenen Alter und dem eingeschränkten Spektrum verbliebener Arbeitsmöglichkeiten des Beschwerdeführers liegen lohnsenkende Faktoren vor, welche einen Tabellenlohnabzug von 10% rechtfertigen. Daraus resultiert in Anwendung eines Prozentvergleichs bei einer Arbeitsfähigkeit von 50% ein Invaliditätsgrad von 55% (50% + [50% x 0.1]). Damit hat der Beschwerdeführer Anspruch auf eine halbe Invalidenrente.</w:t>
      </w:r>
    </w:p>
    <w:p>
      <w:r>
        <w:rPr>
          <w:b/>
        </w:rPr>
        <w:t>E. 4.4</w:t>
      </w:r>
    </w:p>
    <w:p>
      <w:r>
        <w:t>Gemäss Art. 29 Abs. 1 IVG entsteht der Rentenanspruch frühestens nach Ablauf von sechs Monaten nach der Geltendmachung des Leistungsanspruchs. Der Beschwerdeführer meldete sich vorliegend im November 2010 zum Bezug von Leistungen der IV-Stelle an (IV-act. 2), somit ist ein Rentenanspruch frühestens per 1. Mai 2011 entstanden. Das Wartejahr gemäss Art. 28 Abs. 1 lit. b IVG, welches mit Eintritt der 50%igen Arbeitsunfähigkeit ab November 2010 ausgelöst wurde, war sechs Monate nach der Anmeldung jedoch noch nicht erfüllt, weshalb der Rentenanspruch per 1. November 2011 entstanden ist.</w:t>
      </w:r>
    </w:p>
    <w:p>
      <w:r>
        <w:rPr>
          <w:b/>
        </w:rPr>
        <w:t>E. 5.1</w:t>
      </w:r>
    </w:p>
    <w:p>
      <w:r>
        <w:t>Nach dem Gesagten ist in Gutheissung der Beschwerde die Verfügung vom 23. Januar 2013 aufzuheben und dem Beschwerdeführer mit Wirkung ab 1. November 2011 eine halbe Rente zuzusprechen. Zur Festsetzung der Rentenhöhe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Aufgrund der Einholung eines Gerichtsgutachtens und des damit verbundenen Zusatzaufwands erscheint eine Gerichtsgebühr von Fr. 1'000.-- in der vorliegend zu beurteilenden Angelegenheit als angemessen. Dem Ausgang des Verfahrens entsprechend ist sie vollumfänglich der Beschwerdegegnerin aufzuerlegen.</w:t>
      </w:r>
    </w:p>
    <w:p>
      <w:r>
        <w:rPr>
          <w:b/>
        </w:rPr>
        <w:t>E. 5.3</w:t>
      </w:r>
    </w:p>
    <w:p>
      <w:r>
        <w:t>Die Kosten des Gerichtsgutachtens von Fr. 13'931.15 gemäss Rechnung der Medas Zentralschweiz vom 12. Februar 2012 hat die Beschwerdegegnerin zu tragen (BGE 137 V 265 f. E. 4.4.2).</w:t>
      </w:r>
    </w:p>
    <w:p>
      <w:r>
        <w:rPr>
          <w:b/>
        </w:rPr>
        <w:t>E. 5.4</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Im hier zu beurteilenden Fall erscheint eine Parteientschädigung entsprechend der vom Rechtsvertreter eingereichten Honorarnote vom 30. März 2016 (act. G 33) von Fr. 5'678.20 (einschliesslich Barauslagen und Mehrwertsteuer) als angemessen. Unter diesen Umständen erübrigt sich die Festsetzung einer Entschädigung im Rahmen der unentgeltlichen Rechtsverbeiständung. Entscheid im Zirkulationsverfahren gemäss Art. 39 VRP 1. In Gutheissung der Beschwerde wird die Verfügung vom 23. Januar 2013 aufgehoben und dem Beschwerdeführer mit Wirkung ab 1. November 2011 eine halbe Rente zugesprochen. Zur Festsetzung der Rentenhöhe wird die Sache an die Beschwerdegegnerin zurückgewiesen. 2. Die Beschwerdegegnerin hat eine Gerichtsgebühr von Fr. 1'000.-- zu bezahlen. 3. Die Beschwerdegegnerin hat die Kosten des Gerichtsgutachtens von Fr. 13'931.15 zu bezahlen. 4. Die Beschwerdegegnerin hat dem Beschwerdeführer eine Parteientschädigung von Fr. 5'678.20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